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19" w:rsidRPr="00254E19" w:rsidRDefault="00254E19" w:rsidP="00254E19">
      <w:pPr>
        <w:shd w:val="clear" w:color="auto" w:fill="FFFFFF"/>
        <w:ind w:right="58"/>
        <w:jc w:val="center"/>
      </w:pPr>
      <w:r w:rsidRPr="00254E19">
        <w:rPr>
          <w:b/>
          <w:bCs/>
          <w:color w:val="434343"/>
          <w:spacing w:val="-6"/>
          <w:sz w:val="28"/>
          <w:szCs w:val="28"/>
          <w:u w:val="single"/>
        </w:rPr>
        <w:t>ОТЧЕТ за 2020</w:t>
      </w:r>
      <w:r>
        <w:rPr>
          <w:b/>
          <w:bCs/>
          <w:color w:val="434343"/>
          <w:spacing w:val="-6"/>
          <w:sz w:val="28"/>
          <w:szCs w:val="28"/>
          <w:u w:val="single"/>
        </w:rPr>
        <w:t>- 2021</w:t>
      </w:r>
      <w:r w:rsidRPr="00254E19">
        <w:rPr>
          <w:b/>
          <w:bCs/>
          <w:color w:val="434343"/>
          <w:spacing w:val="-6"/>
          <w:sz w:val="28"/>
          <w:szCs w:val="28"/>
          <w:u w:val="single"/>
        </w:rPr>
        <w:t xml:space="preserve"> учебный год</w:t>
      </w:r>
    </w:p>
    <w:p w:rsidR="00254E19" w:rsidRPr="00254E19" w:rsidRDefault="00254E19" w:rsidP="00254E19">
      <w:pPr>
        <w:shd w:val="clear" w:color="auto" w:fill="FFFFFF"/>
        <w:spacing w:line="320" w:lineRule="exact"/>
        <w:ind w:left="3" w:right="20" w:firstLine="412"/>
        <w:jc w:val="both"/>
        <w:rPr>
          <w:spacing w:val="-8"/>
          <w:sz w:val="29"/>
          <w:szCs w:val="29"/>
        </w:rPr>
      </w:pPr>
    </w:p>
    <w:p w:rsidR="00254E19" w:rsidRPr="00254E19" w:rsidRDefault="00254E19" w:rsidP="00254E19">
      <w:pPr>
        <w:shd w:val="clear" w:color="auto" w:fill="FFFFFF"/>
        <w:spacing w:line="320" w:lineRule="exact"/>
        <w:ind w:left="3" w:right="20" w:firstLine="412"/>
        <w:jc w:val="both"/>
      </w:pPr>
      <w:r w:rsidRPr="00254E19">
        <w:rPr>
          <w:spacing w:val="-10"/>
          <w:sz w:val="29"/>
          <w:szCs w:val="29"/>
        </w:rPr>
        <w:t xml:space="preserve">Центр является юридическим лицом, находящемся в ведении отдела образования </w:t>
      </w:r>
      <w:r w:rsidRPr="00254E19">
        <w:rPr>
          <w:spacing w:val="-7"/>
          <w:sz w:val="29"/>
          <w:szCs w:val="29"/>
        </w:rPr>
        <w:t xml:space="preserve">администрации Изобильненского муниципального района Ставропольского края и действует в соответствии с законодательством РФ и </w:t>
      </w:r>
      <w:r w:rsidRPr="00254E19">
        <w:rPr>
          <w:spacing w:val="-17"/>
          <w:sz w:val="29"/>
          <w:szCs w:val="29"/>
        </w:rPr>
        <w:t>Уставом ЦВР.</w:t>
      </w:r>
    </w:p>
    <w:p w:rsidR="00254E19" w:rsidRPr="00254E19" w:rsidRDefault="00254E19" w:rsidP="00254E19">
      <w:pPr>
        <w:shd w:val="clear" w:color="auto" w:fill="FFFFFF"/>
        <w:spacing w:line="320" w:lineRule="exact"/>
        <w:ind w:left="26" w:right="6" w:firstLine="406"/>
        <w:jc w:val="both"/>
        <w:rPr>
          <w:spacing w:val="-12"/>
          <w:sz w:val="29"/>
          <w:szCs w:val="29"/>
        </w:rPr>
      </w:pPr>
      <w:r w:rsidRPr="00254E19">
        <w:rPr>
          <w:spacing w:val="-1"/>
          <w:sz w:val="29"/>
          <w:szCs w:val="29"/>
        </w:rPr>
        <w:t xml:space="preserve">ЦВР располагается в центре города на 1-м этаже многоквартирного дома, площадью </w:t>
      </w:r>
      <w:smartTag w:uri="urn:schemas-microsoft-com:office:smarttags" w:element="metricconverter">
        <w:smartTagPr>
          <w:attr w:name="ProductID" w:val="89,3 кв. м"/>
        </w:smartTagPr>
        <w:r w:rsidRPr="00254E19">
          <w:rPr>
            <w:spacing w:val="-1"/>
            <w:sz w:val="29"/>
            <w:szCs w:val="29"/>
          </w:rPr>
          <w:t>89,3 кв. м</w:t>
        </w:r>
      </w:smartTag>
      <w:r w:rsidRPr="00254E19">
        <w:rPr>
          <w:spacing w:val="-1"/>
          <w:sz w:val="29"/>
          <w:szCs w:val="29"/>
        </w:rPr>
        <w:t>., имеет 1 учебный кабинет</w:t>
      </w:r>
      <w:r w:rsidRPr="00254E19">
        <w:rPr>
          <w:spacing w:val="-5"/>
          <w:sz w:val="29"/>
          <w:szCs w:val="29"/>
        </w:rPr>
        <w:t xml:space="preserve">, актовый зал, 2 кабинета для </w:t>
      </w:r>
      <w:r w:rsidRPr="00254E19">
        <w:rPr>
          <w:spacing w:val="-12"/>
          <w:sz w:val="29"/>
          <w:szCs w:val="29"/>
        </w:rPr>
        <w:t>административной и методической служб, в здании ЦКР «Олимп» - 2 мастерские, 1 учебный класс.</w:t>
      </w:r>
    </w:p>
    <w:p w:rsidR="00254E19" w:rsidRDefault="00254E19" w:rsidP="00254E19">
      <w:pPr>
        <w:shd w:val="clear" w:color="auto" w:fill="FFFFFF"/>
        <w:spacing w:line="320" w:lineRule="exact"/>
        <w:ind w:left="17" w:right="20" w:firstLine="412"/>
        <w:jc w:val="both"/>
      </w:pPr>
    </w:p>
    <w:p w:rsidR="00254E19" w:rsidRPr="00CC3707" w:rsidRDefault="00CC3707" w:rsidP="00CC3707">
      <w:pPr>
        <w:widowControl/>
        <w:shd w:val="clear" w:color="auto" w:fill="FFFFFF"/>
        <w:tabs>
          <w:tab w:val="left" w:pos="6004"/>
        </w:tabs>
        <w:jc w:val="both"/>
        <w:rPr>
          <w:b/>
          <w:sz w:val="32"/>
          <w:szCs w:val="32"/>
          <w:u w:val="single"/>
        </w:rPr>
      </w:pPr>
      <w:r w:rsidRPr="00CC3707">
        <w:rPr>
          <w:b/>
          <w:spacing w:val="-12"/>
          <w:sz w:val="29"/>
          <w:szCs w:val="29"/>
          <w:u w:val="single"/>
        </w:rPr>
        <w:t>КАДРЫ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  <w:t>Образовательный процесс в Центре осуществляют 9 педагогов. Из них с высшим образованием 8 человек – 89</w:t>
      </w:r>
      <w:proofErr w:type="gramStart"/>
      <w:r>
        <w:rPr>
          <w:sz w:val="29"/>
          <w:szCs w:val="29"/>
        </w:rPr>
        <w:t>%,  со</w:t>
      </w:r>
      <w:proofErr w:type="gramEnd"/>
      <w:r>
        <w:rPr>
          <w:sz w:val="29"/>
          <w:szCs w:val="29"/>
        </w:rPr>
        <w:t xml:space="preserve"> средним специальным - 1 человек – 11%.</w:t>
      </w:r>
    </w:p>
    <w:p w:rsidR="00254E19" w:rsidRDefault="00254E19" w:rsidP="00254E19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Средний возраст педагогов – 45 лет.</w:t>
      </w:r>
    </w:p>
    <w:p w:rsidR="00254E19" w:rsidRDefault="00254E19" w:rsidP="00254E19">
      <w:pPr>
        <w:widowControl/>
        <w:shd w:val="clear" w:color="auto" w:fill="FFFFFF"/>
        <w:ind w:left="720" w:firstLine="720"/>
        <w:jc w:val="both"/>
        <w:rPr>
          <w:b/>
          <w:bCs/>
          <w:sz w:val="28"/>
          <w:szCs w:val="28"/>
        </w:rPr>
      </w:pPr>
    </w:p>
    <w:p w:rsidR="00254E19" w:rsidRDefault="00254E19" w:rsidP="00254E19">
      <w:pPr>
        <w:widowControl/>
        <w:shd w:val="clear" w:color="auto" w:fill="FFFFFF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стажу работы педагоги распределяются следующим образом: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28"/>
        <w:gridCol w:w="1740"/>
        <w:gridCol w:w="1716"/>
        <w:gridCol w:w="1740"/>
        <w:gridCol w:w="1544"/>
        <w:gridCol w:w="1970"/>
      </w:tblGrid>
      <w:tr w:rsidR="00254E19" w:rsidTr="00254E19">
        <w:trPr>
          <w:trHeight w:val="258"/>
        </w:trPr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Всего</w:t>
            </w:r>
          </w:p>
        </w:tc>
        <w:tc>
          <w:tcPr>
            <w:tcW w:w="87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Стаж</w:t>
            </w:r>
          </w:p>
        </w:tc>
      </w:tr>
      <w:tr w:rsidR="00254E19" w:rsidTr="00254E19">
        <w:trPr>
          <w:trHeight w:val="216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4E19" w:rsidRDefault="00254E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jc w:val="both"/>
              <w:rPr>
                <w:sz w:val="24"/>
                <w:szCs w:val="24"/>
              </w:rPr>
            </w:pP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До 2 лет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2-5 лет</w:t>
            </w: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5-10 лет</w:t>
            </w: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10-20лет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Свыше 20 лет</w:t>
            </w:r>
          </w:p>
        </w:tc>
      </w:tr>
      <w:tr w:rsidR="00254E19" w:rsidTr="00254E19">
        <w:trPr>
          <w:trHeight w:val="31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9 чел.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1 чел</w:t>
            </w: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0 чел.</w:t>
            </w: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2чел.</w:t>
            </w: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0 чел.</w:t>
            </w: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6 чел.</w:t>
            </w: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254E19" w:rsidTr="00254E19">
        <w:trPr>
          <w:trHeight w:val="26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100 %</w:t>
            </w: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9"/>
                <w:szCs w:val="29"/>
              </w:rPr>
              <w:t>11%</w:t>
            </w:r>
          </w:p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E19" w:rsidRDefault="00254E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</w:tr>
    </w:tbl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8"/>
          <w:szCs w:val="28"/>
        </w:rPr>
        <w:tab/>
        <w:t xml:space="preserve">Моральное и материальное поощрение – один из рычагов стимулирования роста профессионального мастерства педагога. На сегодняшний день 71% всех педагогов имеют награды. </w:t>
      </w:r>
      <w:r>
        <w:rPr>
          <w:sz w:val="29"/>
          <w:szCs w:val="29"/>
        </w:rPr>
        <w:t>«Золотой орден «Отличник качества Ставрополья» - 2 человека, «Платиновый орден «Отличник качества Ставрополья» - 1 человек, нагрудный знак «Почетный работник общего образования Российской Федерации» - 1 человек.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proofErr w:type="gramStart"/>
      <w:r>
        <w:rPr>
          <w:sz w:val="29"/>
          <w:szCs w:val="29"/>
        </w:rPr>
        <w:t xml:space="preserve">Грамоты:   </w:t>
      </w:r>
      <w:proofErr w:type="gramEnd"/>
      <w:r>
        <w:rPr>
          <w:sz w:val="29"/>
          <w:szCs w:val="29"/>
        </w:rPr>
        <w:t xml:space="preserve"> Министерства   образования   Российской Федерации   -   2   человека, Губернатора – 4 человека,   Министерства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>образования Ставропольского края - 7 человек, главы администрации Изобильненского муниципального района – 6 человек, отдела образования администрации ИМР СК - 9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 xml:space="preserve">человек. Педагогический коллектив Центра стабилен (небольшая текучесть </w:t>
      </w:r>
      <w:proofErr w:type="gramStart"/>
      <w:r>
        <w:rPr>
          <w:sz w:val="29"/>
          <w:szCs w:val="29"/>
        </w:rPr>
        <w:t>кадров  происходит</w:t>
      </w:r>
      <w:proofErr w:type="gramEnd"/>
      <w:r>
        <w:rPr>
          <w:sz w:val="29"/>
          <w:szCs w:val="29"/>
        </w:rPr>
        <w:t xml:space="preserve"> в связи с заменой совместителей). </w:t>
      </w:r>
    </w:p>
    <w:p w:rsidR="00254E19" w:rsidRDefault="00254E19" w:rsidP="00254E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путей улучшения качества деятельности учреждения, а значит, и повышения профессиональной компетентности, социального статуса педагогов, престижа этой профессии, администрация видит в аттестации педагогических кадров. Это комплексная оценка квалификации профессионализма и продуктивности деятельности педагогов, она стала своеобразной формой профессионального и личностного совершенствования кадрового потенциала. </w:t>
      </w:r>
    </w:p>
    <w:p w:rsidR="00254E19" w:rsidRDefault="00254E19" w:rsidP="00254E19">
      <w:pPr>
        <w:ind w:firstLine="720"/>
        <w:jc w:val="both"/>
        <w:rPr>
          <w:sz w:val="28"/>
          <w:szCs w:val="28"/>
        </w:rPr>
      </w:pP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Уровень квалификации педагогов Центра на 01.04.2022года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696"/>
        <w:gridCol w:w="1775"/>
        <w:gridCol w:w="1276"/>
        <w:gridCol w:w="1646"/>
      </w:tblGrid>
      <w:tr w:rsidR="00254E19" w:rsidTr="00254E19">
        <w:trPr>
          <w:cantSplit/>
        </w:trPr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254E19" w:rsidTr="00254E19">
        <w:trPr>
          <w:cantSplit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 кат.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9" w:rsidRDefault="00254E19">
            <w:pPr>
              <w:rPr>
                <w:sz w:val="28"/>
                <w:szCs w:val="28"/>
              </w:rPr>
            </w:pPr>
          </w:p>
        </w:tc>
      </w:tr>
      <w:tr w:rsidR="00254E19" w:rsidTr="00254E19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sym w:font="Symbol" w:char="F025"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100%</w:t>
            </w:r>
          </w:p>
        </w:tc>
      </w:tr>
      <w:tr w:rsidR="00254E19" w:rsidTr="00254E19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19" w:rsidRDefault="002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чел. </w:t>
            </w:r>
          </w:p>
        </w:tc>
      </w:tr>
    </w:tbl>
    <w:p w:rsidR="00254E19" w:rsidRDefault="00254E19" w:rsidP="00254E19">
      <w:pPr>
        <w:widowControl/>
        <w:shd w:val="clear" w:color="auto" w:fill="FFFFFF"/>
        <w:ind w:left="720" w:firstLine="720"/>
        <w:jc w:val="both"/>
        <w:rPr>
          <w:b/>
          <w:bCs/>
          <w:sz w:val="28"/>
          <w:szCs w:val="28"/>
        </w:rPr>
      </w:pPr>
    </w:p>
    <w:p w:rsidR="00254E19" w:rsidRPr="00CC3707" w:rsidRDefault="00CC3707" w:rsidP="00CC3707">
      <w:pPr>
        <w:shd w:val="clear" w:color="auto" w:fill="FFFFFF"/>
        <w:spacing w:before="320"/>
        <w:ind w:right="12"/>
        <w:rPr>
          <w:sz w:val="29"/>
          <w:szCs w:val="29"/>
        </w:rPr>
      </w:pPr>
      <w:r>
        <w:rPr>
          <w:b/>
          <w:bCs/>
          <w:spacing w:val="-6"/>
          <w:sz w:val="28"/>
          <w:szCs w:val="28"/>
          <w:u w:val="single"/>
        </w:rPr>
        <w:t>ОБРАЗОВАТЕЛЬНЫЙ ПРОЦЕСС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Основными направлениями работы Центра стали:</w:t>
      </w: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•   Организация образовательной деятельности детей;</w:t>
      </w: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•   Социальная защита и поддержка детей, адаптация их жизни в обществе;</w:t>
      </w: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•   Организация досуговой деятельности;</w:t>
      </w: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•   Координация работы детских организаций в районе;</w:t>
      </w:r>
    </w:p>
    <w:p w:rsidR="00254E19" w:rsidRDefault="00254E19" w:rsidP="00254E19">
      <w:pPr>
        <w:jc w:val="both"/>
        <w:rPr>
          <w:sz w:val="29"/>
          <w:szCs w:val="29"/>
        </w:rPr>
      </w:pPr>
      <w:r>
        <w:rPr>
          <w:sz w:val="29"/>
          <w:szCs w:val="29"/>
        </w:rPr>
        <w:t>•   Консультативно-методическое обеспечение образовательного процесса в районе.</w:t>
      </w:r>
    </w:p>
    <w:p w:rsidR="00254E19" w:rsidRDefault="00254E19" w:rsidP="00254E19">
      <w:pPr>
        <w:ind w:firstLine="432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учебных группах Центра на начало этого учебного года было открыто 27 </w:t>
      </w:r>
      <w:r>
        <w:rPr>
          <w:spacing w:val="-1"/>
          <w:sz w:val="29"/>
          <w:szCs w:val="29"/>
        </w:rPr>
        <w:t xml:space="preserve">учебных групп с охватом </w:t>
      </w:r>
      <w:proofErr w:type="gramStart"/>
      <w:r>
        <w:rPr>
          <w:spacing w:val="-1"/>
          <w:sz w:val="29"/>
          <w:szCs w:val="29"/>
        </w:rPr>
        <w:t>425  детей</w:t>
      </w:r>
      <w:proofErr w:type="gramEnd"/>
      <w:r>
        <w:rPr>
          <w:spacing w:val="-1"/>
          <w:sz w:val="29"/>
          <w:szCs w:val="29"/>
        </w:rPr>
        <w:t xml:space="preserve"> в возрасте от 6 до 18 лет. Образовательные </w:t>
      </w:r>
      <w:r>
        <w:rPr>
          <w:spacing w:val="-10"/>
          <w:sz w:val="29"/>
          <w:szCs w:val="29"/>
        </w:rPr>
        <w:t xml:space="preserve">программы были направлены на поддержку и развитие интересов </w:t>
      </w:r>
      <w:r>
        <w:rPr>
          <w:spacing w:val="-7"/>
          <w:sz w:val="29"/>
          <w:szCs w:val="29"/>
        </w:rPr>
        <w:t xml:space="preserve">детей, их родителей, формирование знаний, умений и навыков, развитие </w:t>
      </w:r>
      <w:r>
        <w:rPr>
          <w:spacing w:val="-11"/>
          <w:sz w:val="29"/>
          <w:szCs w:val="29"/>
        </w:rPr>
        <w:t xml:space="preserve">склонностей самих детей. </w:t>
      </w:r>
    </w:p>
    <w:p w:rsidR="00254E19" w:rsidRDefault="00254E19" w:rsidP="00254E19">
      <w:pPr>
        <w:widowControl/>
        <w:shd w:val="clear" w:color="auto" w:fill="FFFFFF"/>
        <w:ind w:firstLine="432"/>
        <w:jc w:val="both"/>
        <w:rPr>
          <w:sz w:val="29"/>
          <w:szCs w:val="29"/>
        </w:rPr>
      </w:pPr>
      <w:r>
        <w:rPr>
          <w:sz w:val="29"/>
          <w:szCs w:val="29"/>
        </w:rPr>
        <w:t>Исходя из анкетных данных обучающихся, это дети из семей: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Полных - 76%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Малообеспеченных – 54%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Многодетных – 3,5%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Неполных - 43%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Пенсионеров - 1%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Рабочих-41%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Служащих – 54,2%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Предпринимателей - 27%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Безработных- 3%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Родители которых имеют: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высшее образование - 58%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среднее специальное - 39%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среднее - 21% </w:t>
      </w: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незаконченное среднее - 2%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Центре организована работа по 2 направленностям:               </w:t>
      </w:r>
    </w:p>
    <w:p w:rsidR="00254E19" w:rsidRDefault="00254E19" w:rsidP="00254E19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Социально-гуманитарная – 42 %; </w:t>
      </w: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Художественная - 58%.</w:t>
      </w:r>
    </w:p>
    <w:p w:rsidR="00254E19" w:rsidRDefault="00254E19" w:rsidP="00254E19">
      <w:pPr>
        <w:widowControl/>
        <w:shd w:val="clear" w:color="auto" w:fill="FFFFFF"/>
        <w:ind w:firstLine="708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Реализовывается 14 общеразвивающих программ для различных возрастных категорий, которые направлены на профориентацию и </w:t>
      </w:r>
      <w:proofErr w:type="spellStart"/>
      <w:r>
        <w:rPr>
          <w:sz w:val="29"/>
          <w:szCs w:val="29"/>
        </w:rPr>
        <w:t>допрофессиональную</w:t>
      </w:r>
      <w:proofErr w:type="spellEnd"/>
      <w:r>
        <w:rPr>
          <w:sz w:val="29"/>
          <w:szCs w:val="29"/>
        </w:rPr>
        <w:t xml:space="preserve"> подготовку, развитие мотивации к познанию, социальную адаптацию детей, воспитание нравственности и духовной </w:t>
      </w:r>
      <w:r>
        <w:rPr>
          <w:sz w:val="29"/>
          <w:szCs w:val="29"/>
        </w:rPr>
        <w:lastRenderedPageBreak/>
        <w:t xml:space="preserve">культуры. Основная цель программ Центра - развитие творческой личности и реализация ее через обучение и досуг. </w:t>
      </w:r>
    </w:p>
    <w:p w:rsidR="00254E19" w:rsidRDefault="00254E19" w:rsidP="00254E1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9"/>
          <w:szCs w:val="29"/>
        </w:rPr>
        <w:t>Все  программы</w:t>
      </w:r>
      <w:proofErr w:type="gramEnd"/>
      <w:r>
        <w:rPr>
          <w:sz w:val="29"/>
          <w:szCs w:val="29"/>
        </w:rPr>
        <w:t xml:space="preserve"> утверждаются на педагогическом совете. 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Все программы ориентируют ребенка на свободный выбор деятельности по интересам. Программный материал был изучен полностью и в срок. 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Управление образовательным процессом осуществлялось администрацией Центра. Совет учреждения, в состав которого входят администрация, педагоги, родители, оказывали помощь в подготовке комнат для занятий к учебному году, помогали осуществлять учебно-воспитательный процесс. Администрацией систематически проверялась наполняемость учебных групп на начало учебного года, документация, велся обзорный контроль состояния трудовой дисциплины, техники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 xml:space="preserve">безопасности     </w:t>
      </w:r>
      <w:proofErr w:type="gramStart"/>
      <w:r>
        <w:rPr>
          <w:sz w:val="29"/>
          <w:szCs w:val="29"/>
        </w:rPr>
        <w:t xml:space="preserve">оборудования,   </w:t>
      </w:r>
      <w:proofErr w:type="gramEnd"/>
      <w:r>
        <w:rPr>
          <w:sz w:val="29"/>
          <w:szCs w:val="29"/>
        </w:rPr>
        <w:t xml:space="preserve">  тематический     контроль     учебного     процесса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>(выполнение      учебных      программ),      воспитательный      процесс      (качество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>воспитательных    мероприятий)    и   т.д.    Результаты    контроля    выносились   на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 xml:space="preserve">обсуждение (совещания при директоре, педсовете, </w:t>
      </w:r>
      <w:proofErr w:type="spellStart"/>
      <w:r>
        <w:rPr>
          <w:sz w:val="29"/>
          <w:szCs w:val="29"/>
        </w:rPr>
        <w:t>методсовете</w:t>
      </w:r>
      <w:proofErr w:type="spellEnd"/>
      <w:r>
        <w:rPr>
          <w:sz w:val="29"/>
          <w:szCs w:val="29"/>
        </w:rPr>
        <w:t xml:space="preserve">, административно-производственные совещания). </w:t>
      </w:r>
    </w:p>
    <w:p w:rsidR="00254E19" w:rsidRDefault="00254E19" w:rsidP="00254E19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В совместной работе администрации и коллектива Центра обеспечивался благоприятный социально-педагогический климат, удовлетворенность педагогов своей работе, заинтересованность их в достижении высоких творческих результатов. Совместными усилиями управленческой деятельности: планирование, организации, руководства и контроля образовательной, инновационной и хозяйственной деятельности, осуществлялась реализация программы деятельности Центра. Свобода выбора учащихся Центра дала возможность педагогам искать такие технологии обучения и воспитания, когда ребенку психологически комфортно, нет ограничений в выборе изучаемого материала и сроках его изучения.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Более 100 учащихся награждены грамотами и призами, многие родители и </w:t>
      </w:r>
      <w:proofErr w:type="gramStart"/>
      <w:r>
        <w:rPr>
          <w:sz w:val="29"/>
          <w:szCs w:val="29"/>
        </w:rPr>
        <w:t>дети  получили</w:t>
      </w:r>
      <w:proofErr w:type="gramEnd"/>
      <w:r>
        <w:rPr>
          <w:sz w:val="29"/>
          <w:szCs w:val="29"/>
        </w:rPr>
        <w:t xml:space="preserve"> благодарности. 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Педагоги стремятся к реализации своих образовательных программ, обеспечивая качество обучения детей. Особый упор идет на работу с одаренными детьми. </w:t>
      </w:r>
      <w:r>
        <w:rPr>
          <w:sz w:val="28"/>
          <w:szCs w:val="28"/>
        </w:rPr>
        <w:t>Полнота реализации дополнительных образовательных программ 90-98</w:t>
      </w:r>
      <w:r>
        <w:rPr>
          <w:sz w:val="28"/>
          <w:szCs w:val="28"/>
        </w:rPr>
        <w:sym w:font="Symbol" w:char="F025"/>
      </w:r>
      <w:r>
        <w:rPr>
          <w:sz w:val="28"/>
          <w:szCs w:val="28"/>
        </w:rPr>
        <w:t>.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Большое внимание в своей деятельности педагоги уделяли коллективной работе. Это максимально сближало ребят, учило их помогать друг другу. А поскольку выполнение задания в учебной группе обычно проходит неравномерно, то здесь на помощь приходила коллективная работа. </w:t>
      </w:r>
    </w:p>
    <w:p w:rsidR="00254E19" w:rsidRDefault="00254E19" w:rsidP="00254E1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Характер и упорство вкупе с мастерством и увлеченностью </w:t>
      </w:r>
      <w:proofErr w:type="gramStart"/>
      <w:r>
        <w:rPr>
          <w:sz w:val="28"/>
        </w:rPr>
        <w:t>позволяют  обучающимся</w:t>
      </w:r>
      <w:proofErr w:type="gramEnd"/>
      <w:r>
        <w:rPr>
          <w:sz w:val="28"/>
        </w:rPr>
        <w:t xml:space="preserve"> творческих объединений «Фантазия», «Золушка», «Жар-птица», «Колибри» побеждать в различных районных, краевых и </w:t>
      </w:r>
      <w:r>
        <w:rPr>
          <w:sz w:val="28"/>
        </w:rPr>
        <w:lastRenderedPageBreak/>
        <w:t xml:space="preserve">всероссийских конкурсах. </w:t>
      </w:r>
    </w:p>
    <w:p w:rsidR="00254E19" w:rsidRDefault="00254E19" w:rsidP="00254E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этом учебном году учащиеся творческих объединений «Золушка» (</w:t>
      </w:r>
      <w:proofErr w:type="gramStart"/>
      <w:r>
        <w:rPr>
          <w:sz w:val="28"/>
          <w:szCs w:val="28"/>
        </w:rPr>
        <w:t xml:space="preserve">педагог  </w:t>
      </w:r>
      <w:proofErr w:type="spellStart"/>
      <w:r>
        <w:rPr>
          <w:sz w:val="28"/>
          <w:szCs w:val="28"/>
        </w:rPr>
        <w:t>Л.В.Панферова</w:t>
      </w:r>
      <w:proofErr w:type="spellEnd"/>
      <w:proofErr w:type="gramEnd"/>
      <w:r>
        <w:rPr>
          <w:sz w:val="28"/>
          <w:szCs w:val="28"/>
        </w:rPr>
        <w:t xml:space="preserve">), «Колибри», «Фантазия» (педагог Л.А. </w:t>
      </w:r>
      <w:proofErr w:type="spellStart"/>
      <w:r>
        <w:rPr>
          <w:sz w:val="28"/>
          <w:szCs w:val="28"/>
        </w:rPr>
        <w:t>Головинская</w:t>
      </w:r>
      <w:proofErr w:type="spellEnd"/>
      <w:r>
        <w:rPr>
          <w:sz w:val="28"/>
          <w:szCs w:val="28"/>
        </w:rPr>
        <w:t xml:space="preserve">) и «Жар-птица» (педагог </w:t>
      </w:r>
      <w:proofErr w:type="spellStart"/>
      <w:r>
        <w:rPr>
          <w:sz w:val="28"/>
          <w:szCs w:val="28"/>
        </w:rPr>
        <w:t>Е.В.Несова</w:t>
      </w:r>
      <w:proofErr w:type="spellEnd"/>
      <w:r>
        <w:rPr>
          <w:sz w:val="28"/>
          <w:szCs w:val="28"/>
        </w:rPr>
        <w:t>), были награждены дипломами всероссийских и международных фестивалей-конкурсов детского и юношеского творчества .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В условиях политической и экономической нестабильности, отношения межнациональных отношений, утраты духовности, размытости норм морали и нравственности в обществе, принцип рационализации в воспитании стал одним из решающих факторов развития подрастающего поколения. Наш регион - Юг России, приграничная территория - Ставрополье, где сошлись все мировые религии. Здесь на протяжении веков усилиями многих поколений взаимодействовали культуры разных народов. Сохранить традиции межнационального согласия веротерпимости, взаимного уважения во время межэтнических конфликтов - одна из основных задач в воспитании детей, поэтому программы </w:t>
      </w:r>
      <w:proofErr w:type="gramStart"/>
      <w:r>
        <w:rPr>
          <w:sz w:val="29"/>
          <w:szCs w:val="29"/>
        </w:rPr>
        <w:t>Центра  нацелены</w:t>
      </w:r>
      <w:proofErr w:type="gramEnd"/>
      <w:r>
        <w:rPr>
          <w:sz w:val="29"/>
          <w:szCs w:val="29"/>
        </w:rPr>
        <w:t xml:space="preserve"> на борьбу против национализма в районе и крае.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Идея военно-патриотического воспитания на основе регионального компонента была поддержана отделом образования администрации района. 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течение последних 19 лет налажена работа «Поста №1», который имеет свой Устав, свою программу и план действий, где кроме караульной службы ребята изучают историю района и края, участие в боях наших земляков, встречаются с ветеранами войны и участниками последних войн, участвуют в проведении месячников мужества, вахтах </w:t>
      </w:r>
      <w:proofErr w:type="gramStart"/>
      <w:r>
        <w:rPr>
          <w:sz w:val="29"/>
          <w:szCs w:val="29"/>
        </w:rPr>
        <w:t>памяти ,</w:t>
      </w:r>
      <w:proofErr w:type="gramEnd"/>
      <w:r>
        <w:rPr>
          <w:sz w:val="29"/>
          <w:szCs w:val="29"/>
        </w:rPr>
        <w:t xml:space="preserve"> праздниках Отечества и Победы.     </w:t>
      </w:r>
    </w:p>
    <w:p w:rsidR="00254E19" w:rsidRDefault="00254E19" w:rsidP="00254E1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деятельности клуба «Патриот» являлись: несение Почетной Вахты Памяти на посту № 1 у мемориала «Огонь вечной славы», организация, проведение и участие в городских торжественных мероприятиях (построение и возложение цветов к мемориалу «Огонь вечной славы», уроки мужества по случаю освобождения от немецко-фашистских захватчиков, «День призывника», «Вахта памяти», встречи с ветеранами), посвященных Государственным праздникам, Дням воинской славы, другим торжествам. Оказание помощи школам города в работе военно-патриотических клубов, музеев.</w:t>
      </w:r>
    </w:p>
    <w:p w:rsidR="00254E19" w:rsidRDefault="00254E19" w:rsidP="00254E1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 рамках месячника с 18.01.2022г по 01.03.2022 г. проведены уроки Мужества для учащихся клуба «Патриот» и Центра, посвященный памяти павших во время Великой Отечественной войны. Урок Мужества посетили 143 учащихся Центра, их родителей, учащихся школ города.</w:t>
      </w:r>
    </w:p>
    <w:p w:rsidR="00254E19" w:rsidRDefault="00254E19" w:rsidP="00254E1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Изобильненское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детское объединение «Искра» создано 28 сентября 2005 года.  ИРДО «Искра» имеет свою программу деятельности.  Со 2 декабря 2005 года РДО «Искра» является коллективным членом краевой общественной организации «Союз детей Ставрополья». Действует она на основании утвержденного общим сбором положения и программы деятельности. Членами организации на добровольной основе являются дети с </w:t>
      </w:r>
      <w:r>
        <w:rPr>
          <w:rFonts w:ascii="Times New Roman" w:hAnsi="Times New Roman"/>
          <w:sz w:val="28"/>
          <w:szCs w:val="28"/>
        </w:rPr>
        <w:lastRenderedPageBreak/>
        <w:t>8 до 14 лет. В состав ИРДО «Искра» входят 23 детских организации общеобразовательных учреждений Изобильненского района. Членами ИРОД «Искра» являются 2476 детей. Свою деятельность районное объединение осуществляет по пяти направлениям: гражданско-патриотическое, социально-педагогическое, спортивно-оздоровительное и пропаганда здорового образа жизни, экологическое, волонтерское.</w:t>
      </w:r>
    </w:p>
    <w:p w:rsidR="00254E19" w:rsidRDefault="00254E19" w:rsidP="00254E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Высшим органом управления ИРДО «Искра» является общий сбор, который проводится 2 раза в год - в начале и в конце учебного года. В начале года общий сбор утверждает план работы Объединения на учебный год, принимает решения по наиболее значимым вопросам деятельности Объединения. В конце года на итоговом общем сборе заслушиваются отчёты председателя и детских организаций и объединений, входящих в состав Объединения о проделанной работе за учебный год, проводится награждение. Высшим руководящим органом ИРДО «Искра» является Совет, в который входят председатели детских организаций и объединений, он осуществляет в период между сборами руководство работой Объединения. Совет Объединения </w:t>
      </w:r>
      <w:r>
        <w:rPr>
          <w:rFonts w:eastAsia="Calibri"/>
          <w:color w:val="000000"/>
          <w:sz w:val="28"/>
          <w:szCs w:val="28"/>
        </w:rPr>
        <w:t xml:space="preserve">собирается один раз в два месяца.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254E19" w:rsidRDefault="00254E19" w:rsidP="00254E19">
      <w:pPr>
        <w:spacing w:line="200" w:lineRule="atLeast"/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15 декабря 2018 года на базе муниципального бюджетного учреждения «Центр внешкольной работы» Изобильненского городского округа Ставропольского края был открыт Дом </w:t>
      </w:r>
      <w:proofErr w:type="spellStart"/>
      <w:r>
        <w:rPr>
          <w:sz w:val="28"/>
          <w:szCs w:val="28"/>
        </w:rPr>
        <w:t>юнармии</w:t>
      </w:r>
      <w:proofErr w:type="spellEnd"/>
      <w:r>
        <w:rPr>
          <w:sz w:val="28"/>
          <w:szCs w:val="28"/>
        </w:rPr>
        <w:t xml:space="preserve"> имени Героя Советского Союза А.Л. Титенко.   Целью деятельности Дома «ЮНАРМИИ» является создание условий для патриотического воспитания детей и подростков, а также формирование единого специализированного учебно-воспитательного комплекса, способного обеспечить развитие мотивации молодежи к защите Отечества. На момент открытия Дома </w:t>
      </w:r>
      <w:proofErr w:type="spellStart"/>
      <w:r>
        <w:rPr>
          <w:sz w:val="28"/>
          <w:szCs w:val="28"/>
        </w:rPr>
        <w:t>юнармии</w:t>
      </w:r>
      <w:proofErr w:type="spellEnd"/>
      <w:r>
        <w:rPr>
          <w:sz w:val="28"/>
          <w:szCs w:val="28"/>
        </w:rPr>
        <w:t xml:space="preserve"> в ряды </w:t>
      </w:r>
      <w:proofErr w:type="spellStart"/>
      <w:r>
        <w:rPr>
          <w:sz w:val="28"/>
          <w:szCs w:val="28"/>
        </w:rPr>
        <w:t>юнаармейцев</w:t>
      </w:r>
      <w:proofErr w:type="spellEnd"/>
      <w:r>
        <w:rPr>
          <w:sz w:val="28"/>
          <w:szCs w:val="28"/>
        </w:rPr>
        <w:t xml:space="preserve"> было принято 206 учащихся. Это число растет из года в год. И сегодня уже 969 ребят </w:t>
      </w:r>
      <w:proofErr w:type="spellStart"/>
      <w:r>
        <w:rPr>
          <w:sz w:val="28"/>
          <w:szCs w:val="28"/>
        </w:rPr>
        <w:t>являеются</w:t>
      </w:r>
      <w:proofErr w:type="spellEnd"/>
      <w:r>
        <w:rPr>
          <w:sz w:val="28"/>
          <w:szCs w:val="28"/>
        </w:rPr>
        <w:t xml:space="preserve"> членами </w:t>
      </w:r>
      <w:proofErr w:type="spellStart"/>
      <w:r>
        <w:rPr>
          <w:sz w:val="28"/>
          <w:szCs w:val="28"/>
        </w:rPr>
        <w:t>юнаармейского</w:t>
      </w:r>
      <w:proofErr w:type="spellEnd"/>
      <w:r>
        <w:rPr>
          <w:sz w:val="28"/>
          <w:szCs w:val="28"/>
        </w:rPr>
        <w:t xml:space="preserve"> движения.</w:t>
      </w:r>
    </w:p>
    <w:p w:rsidR="00254E19" w:rsidRDefault="00254E19" w:rsidP="00254E1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В 2021 году </w:t>
      </w:r>
      <w:proofErr w:type="spellStart"/>
      <w:r>
        <w:rPr>
          <w:sz w:val="28"/>
          <w:szCs w:val="28"/>
        </w:rPr>
        <w:t>Изобильненский</w:t>
      </w:r>
      <w:proofErr w:type="spellEnd"/>
      <w:r>
        <w:rPr>
          <w:sz w:val="28"/>
          <w:szCs w:val="28"/>
        </w:rPr>
        <w:t xml:space="preserve"> городской округ стал </w:t>
      </w:r>
      <w:proofErr w:type="gramStart"/>
      <w:r>
        <w:rPr>
          <w:sz w:val="28"/>
          <w:szCs w:val="28"/>
        </w:rPr>
        <w:t>одним  из</w:t>
      </w:r>
      <w:proofErr w:type="gramEnd"/>
      <w:r>
        <w:rPr>
          <w:sz w:val="28"/>
          <w:szCs w:val="28"/>
        </w:rPr>
        <w:t xml:space="preserve"> пилотных в Ставропольском крае в реализации регионального проекта «Успех каждого ребенка». На базе МБУДО «ЦВР» ИГОСК был создан муниципальный опорный центр дополнительного образования детей. </w:t>
      </w:r>
      <w:proofErr w:type="spellStart"/>
      <w:r>
        <w:rPr>
          <w:sz w:val="28"/>
          <w:szCs w:val="28"/>
        </w:rPr>
        <w:t>Изобильненский</w:t>
      </w:r>
      <w:proofErr w:type="spellEnd"/>
      <w:r>
        <w:rPr>
          <w:sz w:val="28"/>
          <w:szCs w:val="28"/>
        </w:rPr>
        <w:t xml:space="preserve"> муниципальный опорный центр выполняет организационно-методическую, экспертно-консультативную поддержку, направленную на обеспечение реализации дополнительных </w:t>
      </w:r>
      <w:proofErr w:type="gramStart"/>
      <w:r>
        <w:rPr>
          <w:sz w:val="28"/>
          <w:szCs w:val="28"/>
        </w:rPr>
        <w:t>общеобразовательных  различной</w:t>
      </w:r>
      <w:proofErr w:type="gramEnd"/>
      <w:r>
        <w:rPr>
          <w:sz w:val="28"/>
          <w:szCs w:val="28"/>
        </w:rPr>
        <w:t xml:space="preserve"> направленности в образовательных организациях, расположенных на территории  Изобильненского городского округа. </w:t>
      </w:r>
    </w:p>
    <w:p w:rsidR="00254E19" w:rsidRDefault="00254E19" w:rsidP="00254E19">
      <w:pPr>
        <w:jc w:val="both"/>
        <w:rPr>
          <w:color w:val="000000"/>
          <w:sz w:val="28"/>
          <w:szCs w:val="28"/>
        </w:rPr>
      </w:pPr>
    </w:p>
    <w:p w:rsidR="00254E19" w:rsidRDefault="00254E19" w:rsidP="00254E19">
      <w:pPr>
        <w:ind w:firstLine="8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деятельность Центра по развитию детского движения объективно способствует развитию детской социальной, гражданской, творческой активности. Сложился комплекс мероприятий, налажено сетевое взаимодействие детских общественных организаций. Вырабатывается методическая основа в работе с детьми, планированию и проектированию детской общественной деятельности. 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</w:p>
    <w:p w:rsidR="00254E19" w:rsidRDefault="00254E19" w:rsidP="00CC3707">
      <w:pPr>
        <w:widowControl/>
        <w:shd w:val="clear" w:color="auto" w:fill="FFFFFF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9"/>
          <w:szCs w:val="29"/>
          <w:u w:val="single"/>
        </w:rPr>
        <w:lastRenderedPageBreak/>
        <w:t>РАБОТА С РОДИТЕЛЯМИ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В Центре сложилась определенная система работы с родителями. В ее основе – изучение контингента родителей (образование, возраст, профессия, хобби, настроенность на взаимодействие с </w:t>
      </w:r>
      <w:proofErr w:type="spellStart"/>
      <w:r>
        <w:rPr>
          <w:sz w:val="29"/>
          <w:szCs w:val="29"/>
        </w:rPr>
        <w:t>педколлективом</w:t>
      </w:r>
      <w:proofErr w:type="spellEnd"/>
      <w:r>
        <w:rPr>
          <w:sz w:val="29"/>
          <w:szCs w:val="29"/>
        </w:rPr>
        <w:t>) и привлечение родителей к активному участию в жизни Центра.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Родители через родительский совет вовлекались в </w:t>
      </w:r>
      <w:proofErr w:type="spellStart"/>
      <w:r>
        <w:rPr>
          <w:sz w:val="29"/>
          <w:szCs w:val="29"/>
        </w:rPr>
        <w:t>воспитательно</w:t>
      </w:r>
      <w:proofErr w:type="spellEnd"/>
      <w:r>
        <w:rPr>
          <w:sz w:val="29"/>
          <w:szCs w:val="29"/>
        </w:rPr>
        <w:t>-образовательный процесс (дни открытых дверей, проведение отдельных занятий, демонстрацию личных достижений воспитанников на выставках, участие в праздниках, конкурсах и т.д.).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Информация для родителей о состоянии и перспективах работы Центра в целом, отдельных групп шла через родительские собрания, индивидуальные консультации и общение. Привлекались родители и к руководству через Совет Центра, родительский комитет.</w:t>
      </w:r>
    </w:p>
    <w:p w:rsidR="00254E19" w:rsidRDefault="00254E19" w:rsidP="00254E19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Показателями результативности работы с родителями явились:</w:t>
      </w: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удовлетворенность родителей работой Центра;</w:t>
      </w: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удовлетворенность степенью информации о ребенке, о деятельности группы и Центра;</w:t>
      </w:r>
    </w:p>
    <w:p w:rsidR="00254E19" w:rsidRDefault="00254E19" w:rsidP="00254E19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удовлетворенность родителей характером их взаимодействия с педагогами и руководителем Центра.</w:t>
      </w:r>
    </w:p>
    <w:p w:rsidR="00254E19" w:rsidRDefault="00254E19" w:rsidP="00254E19"/>
    <w:p w:rsidR="00933EB0" w:rsidRDefault="00933EB0"/>
    <w:sectPr w:rsidR="0093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3B"/>
    <w:rsid w:val="00254E19"/>
    <w:rsid w:val="0079393B"/>
    <w:rsid w:val="00933EB0"/>
    <w:rsid w:val="00C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0BEAD-2A67-43DC-A0D1-C11BC2D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E19"/>
    <w:pPr>
      <w:spacing w:after="0" w:line="240" w:lineRule="auto"/>
      <w:ind w:left="91" w:firstLine="851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254E19"/>
    <w:pPr>
      <w:spacing w:line="250" w:lineRule="exact"/>
      <w:ind w:firstLine="278"/>
      <w:jc w:val="both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254E19"/>
    <w:pPr>
      <w:spacing w:line="252" w:lineRule="exact"/>
      <w:ind w:firstLine="283"/>
      <w:jc w:val="both"/>
    </w:pPr>
    <w:rPr>
      <w:rFonts w:ascii="Arial" w:hAnsi="Arial"/>
      <w:sz w:val="24"/>
      <w:szCs w:val="24"/>
    </w:rPr>
  </w:style>
  <w:style w:type="character" w:customStyle="1" w:styleId="FontStyle120">
    <w:name w:val="Font Style120"/>
    <w:rsid w:val="00254E19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2022-05-04T08:23:00Z</dcterms:created>
  <dcterms:modified xsi:type="dcterms:W3CDTF">2022-05-04T08:57:00Z</dcterms:modified>
</cp:coreProperties>
</file>